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rPr/>
      </w:pPr>
      <w:r>
        <w:rPr/>
        <w:drawing>
          <wp:inline distT="0" distB="0" distL="0" distR="0">
            <wp:extent cx="1515110" cy="950595"/>
            <wp:effectExtent l="0" t="0" r="0" b="0"/>
            <wp:docPr id="1" name="Imagem 1" descr="Forma, Se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Forma, Se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200" w:after="0"/>
        <w:rPr>
          <w:rFonts w:ascii="Open Sans Light" w:hAnsi="Open Sans Light" w:eastAsia="Open Sans Light" w:cs="Open Sans Light"/>
          <w:color w:val="434343"/>
          <w:sz w:val="60"/>
          <w:szCs w:val="60"/>
        </w:rPr>
      </w:pPr>
      <w:r>
        <w:rPr>
          <w:rFonts w:eastAsia="Open Sans Light" w:cs="Open Sans Light" w:ascii="Open Sans Light" w:hAnsi="Open Sans Light"/>
          <w:color w:val="434343"/>
          <w:sz w:val="60"/>
          <w:szCs w:val="60"/>
        </w:rPr>
      </w:r>
    </w:p>
    <w:p>
      <w:pPr>
        <w:pStyle w:val="Normal"/>
        <w:spacing w:lineRule="auto" w:line="240" w:before="200" w:after="0"/>
        <w:rPr>
          <w:rFonts w:ascii="Open Sans Light" w:hAnsi="Open Sans Light" w:eastAsia="Open Sans Light" w:cs="Open Sans Light"/>
          <w:color w:val="434343"/>
          <w:sz w:val="60"/>
          <w:szCs w:val="60"/>
        </w:rPr>
      </w:pPr>
      <w:r>
        <w:rPr>
          <w:rFonts w:eastAsia="Open Sans Light" w:cs="Open Sans Light" w:ascii="Open Sans Light" w:hAnsi="Open Sans Light"/>
          <w:color w:val="434343"/>
          <w:sz w:val="60"/>
          <w:szCs w:val="60"/>
        </w:rPr>
      </w:r>
    </w:p>
    <w:p>
      <w:pPr>
        <w:pStyle w:val="Normal"/>
        <w:spacing w:lineRule="auto" w:line="240" w:before="200" w:after="0"/>
        <w:rPr>
          <w:rFonts w:ascii="Open Sans Light" w:hAnsi="Open Sans Light" w:eastAsia="Open Sans Light" w:cs="Open Sans Light"/>
          <w:color w:val="434343"/>
          <w:sz w:val="60"/>
          <w:szCs w:val="60"/>
        </w:rPr>
      </w:pPr>
      <w:r>
        <w:rPr>
          <w:rFonts w:eastAsia="Open Sans Light" w:cs="Open Sans Light" w:ascii="Open Sans Light" w:hAnsi="Open Sans Light"/>
          <w:color w:val="434343"/>
          <w:sz w:val="60"/>
          <w:szCs w:val="60"/>
        </w:rPr>
      </w:r>
    </w:p>
    <w:p>
      <w:pPr>
        <w:pStyle w:val="Normal"/>
        <w:spacing w:lineRule="auto" w:line="240" w:before="200" w:after="0"/>
        <w:rPr>
          <w:rFonts w:ascii="Open Sans Light" w:hAnsi="Open Sans Light" w:eastAsia="Open Sans Light" w:cs="Open Sans Light"/>
          <w:color w:val="434343"/>
          <w:sz w:val="60"/>
          <w:szCs w:val="60"/>
        </w:rPr>
      </w:pPr>
      <w:r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align>left</wp:align>
            </wp:positionH>
            <wp:positionV relativeFrom="paragraph">
              <wp:posOffset>4333875</wp:posOffset>
            </wp:positionV>
            <wp:extent cx="7569835" cy="2019300"/>
            <wp:effectExtent l="0" t="0" r="0" b="0"/>
            <wp:wrapTopAndBottom/>
            <wp:docPr id="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Open Sans Light" w:cs="Open Sans Light" w:ascii="Open Sans Light" w:hAnsi="Open Sans Light"/>
          <w:color w:val="434343"/>
          <w:sz w:val="60"/>
          <w:szCs w:val="60"/>
        </w:rPr>
        <w:t>Manual de Procedimentos da Certificação Digital</w:t>
      </w:r>
      <w:r>
        <w:br w:type="page"/>
      </w:r>
    </w:p>
    <w:p>
      <w:pPr>
        <w:pStyle w:val="Normal"/>
        <w:rPr>
          <w:rFonts w:ascii="Open Sans Light" w:hAnsi="Open Sans Light" w:eastAsia="Open Sans Light" w:cs="Open Sans Light"/>
          <w:color w:val="434343"/>
          <w:sz w:val="46"/>
          <w:szCs w:val="46"/>
        </w:rPr>
      </w:pPr>
      <w:r>
        <w:rPr>
          <w:rFonts w:eastAsia="Open Sans Light" w:cs="Open Sans Light" w:ascii="Open Sans Light" w:hAnsi="Open Sans Light"/>
          <w:color w:val="434343"/>
          <w:sz w:val="46"/>
          <w:szCs w:val="46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r>
            <w:fldChar w:fldCharType="begin"/>
          </w:r>
          <w:r>
            <w:rPr>
              <w:webHidden/>
              <w:rStyle w:val="Vnculodendice"/>
            </w:rPr>
            <w:instrText xml:space="preserve"> TOC \z \o "1-9" \u \h</w:instrText>
          </w:r>
          <w:r>
            <w:rPr>
              <w:webHidden/>
              <w:rStyle w:val="Vnculodendice"/>
            </w:rPr>
            <w:fldChar w:fldCharType="separate"/>
          </w:r>
          <w:hyperlink w:anchor="__RefHeading___Toc271_1456719181">
            <w:r>
              <w:rPr>
                <w:webHidden/>
                <w:rStyle w:val="Vnculodendice"/>
              </w:rPr>
              <w:t>1.Introdução</w:t>
              <w:tab/>
              <w:t>2</w:t>
            </w:r>
          </w:hyperlink>
        </w:p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hyperlink w:anchor="__RefHeading___Toc273_1456719181">
            <w:r>
              <w:rPr>
                <w:webHidden/>
                <w:rStyle w:val="Vnculodendice"/>
              </w:rPr>
              <w:t>2.Políticas e Práticas de Certificação</w:t>
              <w:tab/>
              <w:t>2</w:t>
            </w:r>
          </w:hyperlink>
        </w:p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hyperlink w:anchor="__RefHeading___Toc275_1456719181">
            <w:r>
              <w:rPr>
                <w:webHidden/>
                <w:rStyle w:val="Vnculodendice"/>
              </w:rPr>
              <w:t>3.Direitos e Deveres dos Usuários</w:t>
              <w:tab/>
              <w:t>2</w:t>
            </w:r>
          </w:hyperlink>
        </w:p>
        <w:p>
          <w:pPr>
            <w:pStyle w:val="Sumrio2"/>
            <w:tabs>
              <w:tab w:val="clear" w:pos="720"/>
              <w:tab w:val="right" w:pos="9640" w:leader="dot"/>
            </w:tabs>
            <w:rPr/>
          </w:pPr>
          <w:hyperlink w:anchor="__RefHeading___Toc277_1456719181">
            <w:r>
              <w:rPr>
                <w:webHidden/>
                <w:rStyle w:val="Vnculodendice"/>
              </w:rPr>
              <w:t>3.1 Direitos</w:t>
              <w:tab/>
              <w:t>2</w:t>
            </w:r>
          </w:hyperlink>
        </w:p>
        <w:p>
          <w:pPr>
            <w:pStyle w:val="Sumrio2"/>
            <w:tabs>
              <w:tab w:val="clear" w:pos="720"/>
              <w:tab w:val="right" w:pos="9640" w:leader="dot"/>
            </w:tabs>
            <w:rPr/>
          </w:pPr>
          <w:hyperlink w:anchor="__RefHeading___Toc279_1456719181">
            <w:r>
              <w:rPr>
                <w:webHidden/>
                <w:rStyle w:val="Vnculodendice"/>
              </w:rPr>
              <w:t>3.2 Deveres</w:t>
              <w:tab/>
              <w:t>2</w:t>
            </w:r>
          </w:hyperlink>
        </w:p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hyperlink w:anchor="__RefHeading___Toc281_1456719181">
            <w:r>
              <w:rPr>
                <w:webHidden/>
                <w:rStyle w:val="Vnculodendice"/>
              </w:rPr>
              <w:t>4. Segurança na Utilização do Certificado</w:t>
              <w:tab/>
              <w:t>2</w:t>
            </w:r>
          </w:hyperlink>
        </w:p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hyperlink w:anchor="__RefHeading___Toc283_1456719181">
            <w:r>
              <w:rPr>
                <w:webHidden/>
                <w:rStyle w:val="Vnculodendice"/>
              </w:rPr>
              <w:t>5. Instalação e Uso do Certificado</w:t>
              <w:tab/>
              <w:t>3</w:t>
            </w:r>
          </w:hyperlink>
        </w:p>
        <w:p>
          <w:pPr>
            <w:pStyle w:val="Sumrio2"/>
            <w:tabs>
              <w:tab w:val="clear" w:pos="720"/>
              <w:tab w:val="right" w:pos="9640" w:leader="dot"/>
            </w:tabs>
            <w:rPr/>
          </w:pPr>
          <w:hyperlink w:anchor="__RefHeading___Toc285_1456719181">
            <w:r>
              <w:rPr>
                <w:webHidden/>
                <w:rStyle w:val="Vnculodendice"/>
              </w:rPr>
              <w:t>5.1. Download e Instalação</w:t>
              <w:tab/>
              <w:t>3</w:t>
            </w:r>
          </w:hyperlink>
        </w:p>
        <w:p>
          <w:pPr>
            <w:pStyle w:val="Sumrio2"/>
            <w:tabs>
              <w:tab w:val="clear" w:pos="720"/>
              <w:tab w:val="right" w:pos="9640" w:leader="dot"/>
            </w:tabs>
            <w:rPr/>
          </w:pPr>
          <w:hyperlink w:anchor="__RefHeading___Toc287_1456719181">
            <w:r>
              <w:rPr>
                <w:webHidden/>
                <w:rStyle w:val="Vnculodendice"/>
              </w:rPr>
              <w:t>5.2. Importação e Exportação certificado A1</w:t>
              <w:tab/>
              <w:t>3</w:t>
            </w:r>
          </w:hyperlink>
        </w:p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hyperlink w:anchor="__RefHeading___Toc289_1456719181">
            <w:r>
              <w:rPr>
                <w:webHidden/>
                <w:rStyle w:val="Vnculodendice"/>
              </w:rPr>
              <w:t>6. Procedimentos de Revogação e Renovação</w:t>
              <w:tab/>
              <w:t>3</w:t>
            </w:r>
          </w:hyperlink>
        </w:p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hyperlink w:anchor="__RefHeading___Toc291_1456719181">
            <w:r>
              <w:rPr>
                <w:webHidden/>
                <w:rStyle w:val="Vnculodendice"/>
              </w:rPr>
              <w:t>7. Conformidade com o Convênio</w:t>
              <w:tab/>
              <w:t>4</w:t>
            </w:r>
          </w:hyperlink>
        </w:p>
        <w:p>
          <w:pPr>
            <w:pStyle w:val="Sumrio1"/>
            <w:tabs>
              <w:tab w:val="clear" w:pos="720"/>
              <w:tab w:val="right" w:pos="9640" w:leader="dot"/>
            </w:tabs>
            <w:rPr/>
          </w:pPr>
          <w:hyperlink w:anchor="__RefHeading___Toc293_1456719181">
            <w:r>
              <w:rPr>
                <w:webHidden/>
                <w:rStyle w:val="Vnculodendice"/>
              </w:rPr>
              <w:t>8. Considerações Finais</w:t>
              <w:tab/>
              <w:t>4</w:t>
            </w:r>
          </w:hyperlink>
          <w:r>
            <w:rPr>
              <w:rStyle w:val="Vnculodendice"/>
            </w:rPr>
            <w:fldChar w:fldCharType="end"/>
          </w:r>
        </w:p>
      </w:sdtContent>
    </w:sdt>
    <w:p>
      <w:pPr>
        <w:pStyle w:val="Ttulo1"/>
        <w:keepNext w:val="false"/>
        <w:keepLines w:val="false"/>
        <w:spacing w:before="480" w:after="12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</w:rPr>
      </w:pPr>
      <w:r>
        <w:rPr>
          <w:rFonts w:eastAsia="Open Sans Light" w:cs="Open Sans Light" w:ascii="Open Sans Light" w:hAnsi="Open Sans Light"/>
          <w:color w:val="434343"/>
          <w:sz w:val="46"/>
          <w:szCs w:val="46"/>
        </w:rPr>
      </w:r>
      <w:r>
        <w:br w:type="page"/>
      </w:r>
    </w:p>
    <w:p>
      <w:pPr>
        <w:pStyle w:val="Ttulo1"/>
        <w:keepNext w:val="false"/>
        <w:keepLines w:val="false"/>
        <w:spacing w:before="480" w:after="12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</w:rPr>
      </w:pPr>
      <w:bookmarkStart w:id="0" w:name="__RefHeading___Toc271_1456719181"/>
      <w:bookmarkStart w:id="1" w:name="_Toc2133267521"/>
      <w:bookmarkStart w:id="2" w:name="_1k2r6p59lbyv"/>
      <w:bookmarkEnd w:id="0"/>
      <w:bookmarkEnd w:id="2"/>
      <w:r>
        <w:rPr>
          <w:rFonts w:eastAsia="Open Sans Light" w:cs="Open Sans Light" w:ascii="Open Sans Light" w:hAnsi="Open Sans Light"/>
          <w:color w:val="434343"/>
          <w:sz w:val="46"/>
          <w:szCs w:val="46"/>
        </w:rPr>
        <w:t>1.Introdução</w:t>
      </w:r>
      <w:bookmarkEnd w:id="1"/>
      <w:r>
        <w:rPr>
          <w:rFonts w:eastAsia="Open Sans Light" w:cs="Open Sans Light" w:ascii="Open Sans Light" w:hAnsi="Open Sans Light"/>
          <w:color w:val="434343"/>
          <w:sz w:val="46"/>
          <w:szCs w:val="46"/>
        </w:rPr>
        <w:t xml:space="preserve"> </w:t>
      </w:r>
    </w:p>
    <w:p>
      <w:pPr>
        <w:pStyle w:val="Normal"/>
        <w:spacing w:lineRule="auto" w:line="240"/>
        <w:jc w:val="both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Este manual tem como objetivo estabelecer as diretrizes, políticas e procedimentos necessários para a certificação digital, garantindo a integridade, autenticidade e segurança dos seus processos, bem como orientação ao usuário em todo o ciclo de vida do uso do seu certificado digital.</w:t>
      </w:r>
    </w:p>
    <w:p>
      <w:pPr>
        <w:pStyle w:val="Ttulo1"/>
        <w:keepNext w:val="false"/>
        <w:keepLines w:val="false"/>
        <w:spacing w:before="480" w:after="12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</w:rPr>
      </w:pPr>
      <w:bookmarkStart w:id="3" w:name="__RefHeading___Toc273_1456719181"/>
      <w:bookmarkStart w:id="4" w:name="_Toc98146924"/>
      <w:bookmarkStart w:id="5" w:name="_juilghb5siu"/>
      <w:bookmarkEnd w:id="3"/>
      <w:bookmarkEnd w:id="5"/>
      <w:r>
        <w:rPr>
          <w:rFonts w:eastAsia="Open Sans Light" w:cs="Open Sans Light" w:ascii="Open Sans Light" w:hAnsi="Open Sans Light"/>
          <w:color w:val="434343"/>
          <w:sz w:val="46"/>
          <w:szCs w:val="46"/>
        </w:rPr>
        <w:t>2.Políticas e Práticas de Certificação</w:t>
      </w:r>
      <w:bookmarkEnd w:id="4"/>
    </w:p>
    <w:p>
      <w:pPr>
        <w:pStyle w:val="Normal"/>
        <w:spacing w:beforeAutospacing="0" w:before="0" w:afterAutospacing="0" w:after="0"/>
        <w:jc w:val="both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 xml:space="preserve">A certificação digital segue normas e padrões estabelecidos pela ICP-Brasil, conforme apresentado na documentação disponível na </w:t>
      </w:r>
      <w:hyperlink r:id="rId4">
        <w:r>
          <w:rPr>
            <w:rStyle w:val="LinkdaInternet"/>
            <w:rFonts w:eastAsia="Open Sans Light" w:cs="Open Sans Light" w:ascii="Open Sans Light" w:hAnsi="Open Sans Light"/>
            <w:sz w:val="22"/>
            <w:szCs w:val="22"/>
            <w:lang w:val="pt-BR"/>
          </w:rPr>
          <w:t>página da Autoridade Certificadora</w:t>
        </w:r>
      </w:hyperlink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.</w:t>
      </w:r>
    </w:p>
    <w:p>
      <w:pPr>
        <w:pStyle w:val="Ttulo1"/>
        <w:rPr/>
      </w:pPr>
      <w:bookmarkStart w:id="6" w:name="__RefHeading___Toc275_1456719181"/>
      <w:bookmarkStart w:id="7" w:name="_Toc1069322234"/>
      <w:bookmarkEnd w:id="6"/>
      <w:r>
        <w:rPr>
          <w:rFonts w:eastAsia="Open Sans Light" w:cs="Open Sans Light" w:ascii="Open Sans Light" w:hAnsi="Open Sans Light"/>
          <w:b w:val="false"/>
          <w:bCs w:val="false"/>
          <w:color w:val="434343"/>
          <w:sz w:val="46"/>
          <w:szCs w:val="46"/>
        </w:rPr>
        <w:t>3.</w:t>
      </w:r>
      <w:r>
        <w:rPr>
          <w:rStyle w:val="Strong"/>
          <w:rFonts w:eastAsia="Open Sans Light" w:cs="Open Sans Light" w:ascii="Open Sans Light" w:hAnsi="Open Sans Light"/>
          <w:b w:val="false"/>
          <w:bCs w:val="false"/>
          <w:color w:val="434343"/>
          <w:sz w:val="46"/>
          <w:szCs w:val="46"/>
        </w:rPr>
        <w:t>Direitos e Deveres dos Usuários</w:t>
      </w:r>
      <w:bookmarkEnd w:id="7"/>
      <w:r>
        <w:rPr>
          <w:rFonts w:eastAsia="Open Sans Light" w:cs="Open Sans Light" w:ascii="Open Sans Light" w:hAnsi="Open Sans Light"/>
          <w:b w:val="false"/>
          <w:bCs w:val="false"/>
          <w:color w:val="434343"/>
          <w:sz w:val="46"/>
          <w:szCs w:val="46"/>
        </w:rPr>
        <w:t xml:space="preserve"> </w:t>
      </w:r>
    </w:p>
    <w:p>
      <w:pPr>
        <w:pStyle w:val="Ttulo2"/>
        <w:rPr>
          <w:rFonts w:ascii="Open Sans Light" w:hAnsi="Open Sans Light" w:eastAsia="Open Sans Light" w:cs="Open Sans Light"/>
        </w:rPr>
      </w:pPr>
      <w:bookmarkStart w:id="8" w:name="__RefHeading___Toc277_1456719181"/>
      <w:bookmarkStart w:id="9" w:name="_Toc1391024730"/>
      <w:bookmarkEnd w:id="8"/>
      <w:r>
        <w:rPr>
          <w:rFonts w:eastAsia="Open Sans Light" w:cs="Open Sans Light" w:ascii="Open Sans Light" w:hAnsi="Open Sans Light"/>
        </w:rPr>
        <w:t>3.1 Direitos</w:t>
      </w:r>
      <w:bookmarkEnd w:id="9"/>
    </w:p>
    <w:p>
      <w:pPr>
        <w:pStyle w:val="ListParagraph"/>
        <w:numPr>
          <w:ilvl w:val="0"/>
          <w:numId w:val="7"/>
        </w:numPr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Solicitar a emissão de certificados conforme os requisitos estabelecidos;</w:t>
      </w:r>
    </w:p>
    <w:p>
      <w:pPr>
        <w:pStyle w:val="ListParagraph"/>
        <w:numPr>
          <w:ilvl w:val="0"/>
          <w:numId w:val="7"/>
        </w:numPr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Ser informado sobre as diretrizes de uso e segurança;</w:t>
      </w:r>
    </w:p>
    <w:p>
      <w:pPr>
        <w:pStyle w:val="ListParagraph"/>
        <w:numPr>
          <w:ilvl w:val="0"/>
          <w:numId w:val="7"/>
        </w:numPr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Ter suporte técnico para dúvidas relacionadas ao certificado.</w:t>
      </w:r>
    </w:p>
    <w:p>
      <w:pPr>
        <w:pStyle w:val="Ttulo2"/>
        <w:bidi w:val="0"/>
        <w:spacing w:lineRule="auto" w:line="276" w:beforeAutospacing="0" w:before="360" w:afterAutospacing="0" w:after="120"/>
        <w:ind w:left="0" w:right="0" w:hanging="0"/>
        <w:jc w:val="left"/>
        <w:rPr>
          <w:rFonts w:ascii="Open Sans Light" w:hAnsi="Open Sans Light" w:eastAsia="Open Sans Light" w:cs="Open Sans Light"/>
        </w:rPr>
      </w:pPr>
      <w:bookmarkStart w:id="10" w:name="__RefHeading___Toc279_1456719181"/>
      <w:bookmarkStart w:id="11" w:name="_Toc1382858422"/>
      <w:bookmarkEnd w:id="10"/>
      <w:r>
        <w:rPr>
          <w:rFonts w:eastAsia="Open Sans Light" w:cs="Open Sans Light" w:ascii="Open Sans Light" w:hAnsi="Open Sans Light"/>
        </w:rPr>
        <w:t>3.2 Deveres</w:t>
      </w:r>
      <w:bookmarkEnd w:id="11"/>
    </w:p>
    <w:p>
      <w:pPr>
        <w:pStyle w:val="ListParagraph"/>
        <w:numPr>
          <w:ilvl w:val="0"/>
          <w:numId w:val="6"/>
        </w:numPr>
        <w:bidi w:val="0"/>
        <w:spacing w:lineRule="auto" w:line="276" w:beforeAutospacing="0" w:before="0" w:afterAutospacing="0" w:after="0"/>
        <w:ind w:left="720" w:right="0" w:hanging="360"/>
        <w:contextualSpacing/>
        <w:jc w:val="left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Apresentar a documentação original comprobatória dos dados constantes em seu Certificado Digital;</w:t>
      </w:r>
    </w:p>
    <w:p>
      <w:pPr>
        <w:pStyle w:val="ListParagraph"/>
        <w:numPr>
          <w:ilvl w:val="0"/>
          <w:numId w:val="6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Manter as credenciais de acesso em sigilo;</w:t>
      </w:r>
    </w:p>
    <w:p>
      <w:pPr>
        <w:pStyle w:val="ListParagraph"/>
        <w:numPr>
          <w:ilvl w:val="0"/>
          <w:numId w:val="6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Utilizar o certificado exclusivamente para os fins autorizados;</w:t>
      </w:r>
    </w:p>
    <w:p>
      <w:pPr>
        <w:pStyle w:val="ListParagraph"/>
        <w:numPr>
          <w:ilvl w:val="0"/>
          <w:numId w:val="6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Informar imediatamente qualquer suspeita de comprometimento do certificado;</w:t>
      </w:r>
    </w:p>
    <w:p>
      <w:pPr>
        <w:pStyle w:val="ListParagraph"/>
        <w:numPr>
          <w:ilvl w:val="0"/>
          <w:numId w:val="6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Responder por quaisquer danos causados pelo Responsável na utilização da chave privada do Certificado Digital.</w:t>
      </w:r>
    </w:p>
    <w:p>
      <w:pPr>
        <w:pStyle w:val="Ttulo1"/>
        <w:bidi w:val="0"/>
        <w:spacing w:lineRule="auto" w:line="276" w:beforeAutospacing="0" w:before="480" w:afterAutospacing="0" w:after="120"/>
        <w:ind w:left="0" w:right="0" w:hanging="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  <w:lang w:val="pt-BR"/>
        </w:rPr>
      </w:pPr>
      <w:bookmarkStart w:id="12" w:name="__RefHeading___Toc281_1456719181"/>
      <w:bookmarkStart w:id="13" w:name="_Toc1009894471"/>
      <w:bookmarkEnd w:id="12"/>
      <w:r>
        <w:rPr>
          <w:rFonts w:eastAsia="Open Sans Light" w:cs="Open Sans Light" w:ascii="Open Sans Light" w:hAnsi="Open Sans Light"/>
          <w:color w:val="434343"/>
          <w:sz w:val="46"/>
          <w:szCs w:val="46"/>
          <w:lang w:val="pt-BR"/>
        </w:rPr>
        <w:t>4. Segurança na Utilização do Certificado</w:t>
      </w:r>
      <w:bookmarkEnd w:id="13"/>
    </w:p>
    <w:p>
      <w:pPr>
        <w:pStyle w:val="ListParagraph"/>
        <w:numPr>
          <w:ilvl w:val="0"/>
          <w:numId w:val="5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O Titular do certificado deve seguir as orientações acordadas no Termo de Titularidade assinado durante a emissão de seu certificado digital;</w:t>
      </w:r>
    </w:p>
    <w:p>
      <w:pPr>
        <w:pStyle w:val="ListParagraph"/>
        <w:numPr>
          <w:ilvl w:val="0"/>
          <w:numId w:val="5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O certificado deve ser protegido por senha segura (incluindo letras maiúsculas, minúsculas, números e símbolos) e/ou mecanismos de identificação biométrica;</w:t>
      </w:r>
    </w:p>
    <w:p>
      <w:pPr>
        <w:pStyle w:val="ListParagraph"/>
        <w:numPr>
          <w:ilvl w:val="0"/>
          <w:numId w:val="5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A senha deve ser trocada periodicamente e não pode ser compartilhada;</w:t>
      </w:r>
    </w:p>
    <w:p>
      <w:pPr>
        <w:pStyle w:val="ListParagraph"/>
        <w:numPr>
          <w:ilvl w:val="0"/>
          <w:numId w:val="5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O certificado deve ser armazenado em um ambiente seguro, evitando cópias não autorizadas e acessos indevidos.</w:t>
      </w:r>
    </w:p>
    <w:p>
      <w:pPr>
        <w:pStyle w:val="Normal"/>
        <w:bidi w:val="0"/>
        <w:rPr>
          <w:lang w:val="pt-BR"/>
        </w:rPr>
      </w:pPr>
      <w:r>
        <w:rPr>
          <w:lang w:val="pt-BR"/>
        </w:rPr>
      </w:r>
    </w:p>
    <w:p>
      <w:pPr>
        <w:pStyle w:val="Ttulo1"/>
        <w:bidi w:val="0"/>
        <w:spacing w:lineRule="auto" w:line="276" w:beforeAutospacing="0" w:before="480" w:afterAutospacing="0" w:after="120"/>
        <w:ind w:left="0" w:right="0" w:hanging="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  <w:lang w:val="pt-BR"/>
        </w:rPr>
      </w:pPr>
      <w:bookmarkStart w:id="14" w:name="__RefHeading___Toc283_1456719181"/>
      <w:bookmarkStart w:id="15" w:name="_Toc1271640424"/>
      <w:bookmarkEnd w:id="14"/>
      <w:r>
        <w:rPr>
          <w:rFonts w:eastAsia="Open Sans Light" w:cs="Open Sans Light" w:ascii="Open Sans Light" w:hAnsi="Open Sans Light"/>
          <w:color w:val="434343"/>
          <w:sz w:val="46"/>
          <w:szCs w:val="46"/>
          <w:lang w:val="pt-BR"/>
        </w:rPr>
        <w:t>5. Instalação e Uso do Certificado</w:t>
      </w:r>
      <w:bookmarkEnd w:id="15"/>
    </w:p>
    <w:p>
      <w:pPr>
        <w:pStyle w:val="Ttulo2"/>
        <w:bidi w:val="0"/>
        <w:spacing w:lineRule="auto" w:line="276" w:beforeAutospacing="0" w:before="360" w:afterAutospacing="0" w:after="120"/>
        <w:ind w:left="0" w:right="0" w:hanging="0"/>
        <w:jc w:val="left"/>
        <w:rPr>
          <w:rFonts w:ascii="Open Sans Light" w:hAnsi="Open Sans Light" w:eastAsia="Open Sans Light" w:cs="Open Sans Light"/>
          <w:lang w:val="pt-BR"/>
        </w:rPr>
      </w:pPr>
      <w:bookmarkStart w:id="16" w:name="__RefHeading___Toc285_1456719181"/>
      <w:bookmarkStart w:id="17" w:name="_Toc1082863785"/>
      <w:bookmarkEnd w:id="16"/>
      <w:r>
        <w:rPr>
          <w:rFonts w:eastAsia="Open Sans Light" w:cs="Open Sans Light" w:ascii="Open Sans Light" w:hAnsi="Open Sans Light"/>
          <w:lang w:val="pt-BR"/>
        </w:rPr>
        <w:t>5.1. Download e Instalação</w:t>
      </w:r>
      <w:bookmarkEnd w:id="17"/>
    </w:p>
    <w:p>
      <w:pPr>
        <w:pStyle w:val="ListParagraph"/>
        <w:numPr>
          <w:ilvl w:val="0"/>
          <w:numId w:val="4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lang w:val="pt-BR"/>
        </w:rPr>
      </w:pPr>
      <w:r>
        <w:rPr>
          <w:rFonts w:eastAsia="Open Sans Light" w:cs="Open Sans Light" w:ascii="Open Sans Light" w:hAnsi="Open Sans Light"/>
          <w:lang w:val="pt-BR"/>
        </w:rPr>
        <w:t xml:space="preserve">Para realizar o processo de Download e Instalação do certificado digital é necessário utilizar o aplicativo </w:t>
      </w:r>
      <w:hyperlink r:id="rId5">
        <w:r>
          <w:rPr>
            <w:rStyle w:val="LinkdaInternet"/>
            <w:rFonts w:eastAsia="Open Sans Light" w:cs="Open Sans Light" w:ascii="Open Sans Light" w:hAnsi="Open Sans Light"/>
            <w:lang w:val="pt-BR"/>
          </w:rPr>
          <w:t>Instalador de Certificados.</w:t>
        </w:r>
      </w:hyperlink>
      <w:r>
        <w:rPr>
          <w:rFonts w:eastAsia="Open Sans Light" w:cs="Open Sans Light" w:ascii="Open Sans Light" w:hAnsi="Open Sans Light"/>
          <w:lang w:val="pt-BR"/>
        </w:rPr>
        <w:t xml:space="preserve"> O manual interativo com todo o passo a passo desse processo está disponível </w:t>
      </w:r>
      <w:hyperlink r:id="rId6">
        <w:r>
          <w:rPr>
            <w:rStyle w:val="LinkdaInternet"/>
            <w:rFonts w:eastAsia="Open Sans Light" w:cs="Open Sans Light" w:ascii="Open Sans Light" w:hAnsi="Open Sans Light"/>
            <w:lang w:val="pt-BR"/>
          </w:rPr>
          <w:t>aqui.</w:t>
        </w:r>
      </w:hyperlink>
    </w:p>
    <w:p>
      <w:pPr>
        <w:pStyle w:val="ListParagraph"/>
        <w:numPr>
          <w:ilvl w:val="0"/>
          <w:numId w:val="4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lang w:val="pt-BR"/>
        </w:rPr>
      </w:pPr>
      <w:r>
        <w:rPr>
          <w:rFonts w:eastAsia="Open Sans Light" w:cs="Open Sans Light" w:ascii="Open Sans Light" w:hAnsi="Open Sans Light"/>
          <w:lang w:val="pt-BR"/>
        </w:rPr>
        <w:t>O certificado digital deve ser baixado exclusivamente pelo titular, utilizando um ambiente seguro;</w:t>
      </w:r>
    </w:p>
    <w:p>
      <w:pPr>
        <w:pStyle w:val="ListParagraph"/>
        <w:numPr>
          <w:ilvl w:val="0"/>
          <w:numId w:val="4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lang w:val="pt-BR"/>
        </w:rPr>
      </w:pPr>
      <w:r>
        <w:rPr>
          <w:rFonts w:eastAsia="Open Sans Light" w:cs="Open Sans Light" w:ascii="Open Sans Light" w:hAnsi="Open Sans Light"/>
          <w:lang w:val="pt-BR"/>
        </w:rPr>
        <w:t>Durante a instalação, o usuário deve definir uma senha forte para proteção do certificado.</w:t>
      </w:r>
    </w:p>
    <w:p>
      <w:pPr>
        <w:pStyle w:val="Ttulo2"/>
        <w:bidi w:val="0"/>
        <w:spacing w:lineRule="auto" w:line="276" w:beforeAutospacing="0" w:before="360" w:afterAutospacing="0" w:after="120"/>
        <w:ind w:left="0" w:right="0" w:hanging="0"/>
        <w:jc w:val="left"/>
        <w:rPr>
          <w:rFonts w:ascii="Open Sans Light" w:hAnsi="Open Sans Light" w:eastAsia="Open Sans Light" w:cs="Open Sans Light"/>
          <w:lang w:val="pt-BR"/>
        </w:rPr>
      </w:pPr>
      <w:bookmarkStart w:id="18" w:name="__RefHeading___Toc287_1456719181"/>
      <w:bookmarkStart w:id="19" w:name="_Toc457436303"/>
      <w:bookmarkEnd w:id="18"/>
      <w:r>
        <w:rPr>
          <w:rFonts w:eastAsia="Open Sans Light" w:cs="Open Sans Light" w:ascii="Open Sans Light" w:hAnsi="Open Sans Light"/>
          <w:color w:val="auto"/>
          <w:sz w:val="32"/>
          <w:szCs w:val="32"/>
          <w:lang w:val="pt-BR" w:eastAsia="pt-BR" w:bidi="ar-SA"/>
        </w:rPr>
        <w:t>5.2. Importação e Exportação certificado A1</w:t>
      </w:r>
      <w:bookmarkEnd w:id="19"/>
    </w:p>
    <w:p>
      <w:pPr>
        <w:pStyle w:val="ListParagraph"/>
        <w:numPr>
          <w:ilvl w:val="0"/>
          <w:numId w:val="3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 xml:space="preserve">A importação/exportação do certificado deve seguir os protocolos de segurança estabelecidos. Aqui temos o </w:t>
      </w:r>
      <w:hyperlink r:id="rId7">
        <w:r>
          <w:rPr>
            <w:rStyle w:val="LinkdaInternet"/>
            <w:rFonts w:eastAsia="Open Sans Light" w:cs="Open Sans Light" w:ascii="Open Sans Light" w:hAnsi="Open Sans Light"/>
            <w:sz w:val="22"/>
            <w:szCs w:val="22"/>
            <w:lang w:val="pt-BR"/>
          </w:rPr>
          <w:t>manual interativo</w:t>
        </w:r>
      </w:hyperlink>
      <w:r>
        <w:rPr>
          <w:rFonts w:eastAsia="Open Sans Light" w:cs="Open Sans Light" w:ascii="Open Sans Light" w:hAnsi="Open Sans Light"/>
          <w:sz w:val="22"/>
          <w:szCs w:val="22"/>
          <w:lang w:val="pt-BR"/>
        </w:rPr>
        <w:t xml:space="preserve"> com o passo a passo do processo de importação de certificados;</w:t>
      </w:r>
    </w:p>
    <w:p>
      <w:pPr>
        <w:pStyle w:val="ListParagraph"/>
        <w:numPr>
          <w:ilvl w:val="0"/>
          <w:numId w:val="3"/>
        </w:numPr>
        <w:bidi w:val="0"/>
        <w:spacing w:beforeAutospacing="0" w:before="0" w:afterAutospacing="0" w:after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 xml:space="preserve">Em caso de movimentação do certificado para outro dispositivo, a senha de proteção deve ser obrigatoriamente utilizada. Aqui temos o </w:t>
      </w:r>
      <w:hyperlink r:id="rId8">
        <w:r>
          <w:rPr>
            <w:rStyle w:val="LinkdaInternet"/>
            <w:rFonts w:eastAsia="Open Sans Light" w:cs="Open Sans Light" w:ascii="Open Sans Light" w:hAnsi="Open Sans Light"/>
            <w:sz w:val="22"/>
            <w:szCs w:val="22"/>
            <w:lang w:val="pt-BR"/>
          </w:rPr>
          <w:t>manual interativo</w:t>
        </w:r>
      </w:hyperlink>
      <w:r>
        <w:rPr>
          <w:rFonts w:eastAsia="Open Sans Light" w:cs="Open Sans Light" w:ascii="Open Sans Light" w:hAnsi="Open Sans Light"/>
          <w:sz w:val="22"/>
          <w:szCs w:val="22"/>
          <w:lang w:val="pt-BR"/>
        </w:rPr>
        <w:t xml:space="preserve"> com o passo a passo do processo de exportação do certificado;</w:t>
      </w:r>
    </w:p>
    <w:p>
      <w:pPr>
        <w:pStyle w:val="ListParagraph"/>
        <w:bidi w:val="0"/>
        <w:spacing w:beforeAutospacing="0" w:before="0" w:afterAutospacing="0" w:after="0"/>
        <w:ind w:left="720" w:hanging="0"/>
        <w:contextualSpacing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</w:r>
    </w:p>
    <w:p>
      <w:pPr>
        <w:pStyle w:val="Ttulo1"/>
        <w:bidi w:val="0"/>
        <w:spacing w:lineRule="auto" w:line="276" w:beforeAutospacing="0" w:before="480" w:afterAutospacing="0" w:after="120"/>
        <w:ind w:left="0" w:right="0" w:hanging="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  <w:lang w:val="pt-BR"/>
        </w:rPr>
      </w:pPr>
      <w:bookmarkStart w:id="20" w:name="__RefHeading___Toc289_1456719181"/>
      <w:bookmarkStart w:id="21" w:name="_Toc613611672"/>
      <w:bookmarkEnd w:id="20"/>
      <w:r>
        <w:rPr>
          <w:rFonts w:eastAsia="Open Sans Light" w:cs="Open Sans Light" w:ascii="Open Sans Light" w:hAnsi="Open Sans Light"/>
          <w:color w:val="434343"/>
          <w:sz w:val="46"/>
          <w:szCs w:val="46"/>
          <w:lang w:val="pt-BR"/>
        </w:rPr>
        <w:t>6. Procedimentos de Revogação e Renovação</w:t>
      </w:r>
      <w:bookmarkEnd w:id="21"/>
    </w:p>
    <w:p>
      <w:pPr>
        <w:pStyle w:val="ListParagraph"/>
        <w:numPr>
          <w:ilvl w:val="0"/>
          <w:numId w:val="2"/>
        </w:numPr>
        <w:bidi w:val="0"/>
        <w:spacing w:lineRule="auto" w:line="276" w:beforeAutospacing="0" w:before="0" w:afterAutospacing="0" w:after="0"/>
        <w:ind w:left="720" w:right="0" w:hanging="360"/>
        <w:contextualSpacing/>
        <w:jc w:val="left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 xml:space="preserve">Cabe à Autoridade Certificadora </w:t>
      </w:r>
      <w:r>
        <w:rPr>
          <w:rFonts w:eastAsia="Open Sans Light" w:cs="Open Sans Light" w:ascii="Open Sans Light" w:hAnsi="Open Sans Light"/>
          <w:b w:val="false"/>
          <w:bCs w:val="false"/>
          <w:sz w:val="24"/>
          <w:szCs w:val="24"/>
          <w:lang w:val="pt-BR"/>
        </w:rPr>
        <w:t>r</w:t>
      </w:r>
      <w:r>
        <w:rPr>
          <w:rFonts w:eastAsia="Open Sans Light" w:cs="Open Sans Light" w:ascii="Open Sans Light" w:hAnsi="Open Sans Light"/>
          <w:color w:val="auto"/>
          <w:sz w:val="22"/>
          <w:szCs w:val="22"/>
          <w:lang w:val="pt-BR" w:eastAsia="pt-BR" w:bidi="ar-SA"/>
        </w:rPr>
        <w:t>evogar os certificados e-CPF e e-CNPJ, a pedido do titular ou de seu procurador expressamente autorizado, quando o titular deixar de cumprir as políticas, normas e regras estabelecidas para a ICP-Brasil, ou por solicitação da RECEITA, nos casos em que a situação cadastral do titular tenha sido alterada, não permitindo mais que ele seja titular de certificados e-CPF ou e-CNPJ;</w:t>
      </w:r>
    </w:p>
    <w:p>
      <w:pPr>
        <w:pStyle w:val="ListParagraph"/>
        <w:numPr>
          <w:ilvl w:val="0"/>
          <w:numId w:val="2"/>
        </w:numPr>
        <w:bidi w:val="0"/>
        <w:spacing w:lineRule="auto" w:line="276" w:beforeAutospacing="0" w:before="0" w:afterAutospacing="0" w:after="0"/>
        <w:ind w:left="720" w:right="0" w:hanging="360"/>
        <w:contextualSpacing/>
        <w:jc w:val="left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A revogação do certificado deve ser solicitada imediatamente em caso de comprometimento ou perda de controle do dispositivo onde está armazenado;</w:t>
      </w:r>
    </w:p>
    <w:p>
      <w:pPr>
        <w:pStyle w:val="ListParagraph"/>
        <w:numPr>
          <w:ilvl w:val="0"/>
          <w:numId w:val="2"/>
        </w:numPr>
        <w:bidi w:val="0"/>
        <w:spacing w:lineRule="auto" w:line="276" w:beforeAutospacing="0" w:before="0" w:afterAutospacing="0" w:after="0"/>
        <w:ind w:left="720" w:right="0" w:hanging="360"/>
        <w:contextualSpacing/>
        <w:jc w:val="left"/>
        <w:rPr>
          <w:rFonts w:ascii="Open Sans Light" w:hAnsi="Open Sans Light" w:eastAsia="Open Sans Light" w:cs="Open Sans Light"/>
          <w:color w:val="auto"/>
          <w:sz w:val="22"/>
          <w:szCs w:val="22"/>
          <w:lang w:val="pt-BR" w:eastAsia="pt-BR" w:bidi="ar-SA"/>
        </w:rPr>
      </w:pPr>
      <w:r>
        <w:rPr>
          <w:rFonts w:eastAsia="Open Sans Light" w:cs="Open Sans Light" w:ascii="Open Sans Light" w:hAnsi="Open Sans Light"/>
          <w:color w:val="auto"/>
          <w:sz w:val="22"/>
          <w:szCs w:val="22"/>
          <w:lang w:val="pt-BR" w:eastAsia="pt-BR" w:bidi="ar-SA"/>
        </w:rPr>
        <w:t xml:space="preserve">O Titular pode solicitar a revogação do Certificado Digital a qualquer tempo, sendo obrigatória a solicitação imediata quando: </w:t>
      </w:r>
    </w:p>
    <w:p>
      <w:pPr>
        <w:pStyle w:val="ListParagraph"/>
        <w:numPr>
          <w:ilvl w:val="0"/>
          <w:numId w:val="1"/>
        </w:numPr>
        <w:bidi w:val="0"/>
        <w:spacing w:lineRule="auto" w:line="276" w:beforeAutospacing="0" w:before="0" w:afterAutospacing="0" w:after="0"/>
        <w:ind w:left="1080" w:right="0" w:hanging="360"/>
        <w:contextualSpacing/>
        <w:jc w:val="left"/>
        <w:rPr>
          <w:rFonts w:ascii="Open Sans Light" w:hAnsi="Open Sans Light" w:eastAsia="Open Sans Light" w:cs="Open Sans Light"/>
          <w:color w:val="auto"/>
          <w:sz w:val="22"/>
          <w:szCs w:val="22"/>
          <w:lang w:val="pt-BR" w:eastAsia="pt-BR" w:bidi="ar-SA"/>
        </w:rPr>
      </w:pPr>
      <w:r>
        <w:rPr>
          <w:rFonts w:eastAsia="Open Sans Light" w:cs="Open Sans Light" w:ascii="Open Sans Light" w:hAnsi="Open Sans Light"/>
          <w:color w:val="auto"/>
          <w:sz w:val="22"/>
          <w:szCs w:val="22"/>
          <w:lang w:val="pt-BR" w:eastAsia="pt-BR" w:bidi="ar-SA"/>
        </w:rPr>
        <w:t xml:space="preserve">Houver suspeita do comprometimento de sua chave privada, mídia ou senha, especialmente em caso de perda, furto, roubo, acesso indevido; </w:t>
      </w:r>
    </w:p>
    <w:p>
      <w:pPr>
        <w:pStyle w:val="ListParagraph"/>
        <w:numPr>
          <w:ilvl w:val="0"/>
          <w:numId w:val="1"/>
        </w:numPr>
        <w:bidi w:val="0"/>
        <w:spacing w:lineRule="auto" w:line="276" w:beforeAutospacing="0" w:before="0" w:afterAutospacing="0" w:after="0"/>
        <w:ind w:left="1080" w:right="0" w:hanging="360"/>
        <w:contextualSpacing/>
        <w:jc w:val="left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color w:val="auto"/>
          <w:sz w:val="22"/>
          <w:szCs w:val="22"/>
          <w:lang w:val="pt-BR" w:eastAsia="pt-BR" w:bidi="ar-SA"/>
        </w:rPr>
        <w:t xml:space="preserve">Houver alteração de qualquer informação constante do Certificado. </w:t>
      </w:r>
    </w:p>
    <w:p>
      <w:pPr>
        <w:pStyle w:val="ListParagraph"/>
        <w:numPr>
          <w:ilvl w:val="0"/>
          <w:numId w:val="2"/>
        </w:numPr>
        <w:bidi w:val="0"/>
        <w:spacing w:lineRule="auto" w:line="276" w:beforeAutospacing="0" w:before="0" w:afterAutospacing="0" w:after="0"/>
        <w:ind w:left="720" w:right="0" w:hanging="360"/>
        <w:contextualSpacing/>
        <w:jc w:val="left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 xml:space="preserve">A renovação deve ser feita dentro do prazo estabelecido e conforme os critérios definidos no documento da Política de Certificados para evitar a interrupção do uso do certificado. </w:t>
      </w:r>
    </w:p>
    <w:p>
      <w:pPr>
        <w:pStyle w:val="ListParagraph"/>
        <w:bidi w:val="0"/>
        <w:spacing w:lineRule="auto" w:line="276" w:beforeAutospacing="0" w:before="0" w:afterAutospacing="0" w:after="0"/>
        <w:ind w:left="1080" w:right="0" w:hanging="0"/>
        <w:contextualSpacing/>
        <w:jc w:val="left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</w:r>
    </w:p>
    <w:p>
      <w:pPr>
        <w:pStyle w:val="Ttulo1"/>
        <w:bidi w:val="0"/>
        <w:spacing w:lineRule="auto" w:line="276" w:beforeAutospacing="0" w:before="480" w:afterAutospacing="0" w:after="120"/>
        <w:ind w:left="0" w:right="0" w:hanging="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  <w:lang w:val="pt-BR"/>
        </w:rPr>
      </w:pPr>
      <w:bookmarkStart w:id="22" w:name="__RefHeading___Toc291_1456719181"/>
      <w:bookmarkStart w:id="23" w:name="_Toc305965813"/>
      <w:bookmarkEnd w:id="22"/>
      <w:r>
        <w:rPr>
          <w:rFonts w:eastAsia="Open Sans Light" w:cs="Open Sans Light" w:ascii="Open Sans Light" w:hAnsi="Open Sans Light"/>
          <w:color w:val="434343"/>
          <w:sz w:val="46"/>
          <w:szCs w:val="46"/>
          <w:lang w:val="pt-BR"/>
        </w:rPr>
        <w:t>7. Conformidade com o Convênio</w:t>
      </w:r>
      <w:bookmarkEnd w:id="23"/>
    </w:p>
    <w:p>
      <w:pPr>
        <w:pStyle w:val="Normal"/>
        <w:bidi w:val="0"/>
        <w:spacing w:lineRule="auto" w:line="240" w:beforeAutospacing="0" w:before="0" w:afterAutospacing="0" w:after="0"/>
        <w:ind w:left="0" w:right="0" w:hanging="0"/>
        <w:jc w:val="both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  <w:t>Este manual está em conformidade com a Cláusula Terceira, item 10, alínea "b" do Convênio, garantindo que todas as práticas de certificação estejam alinhadas com as normas vigentes.</w:t>
      </w:r>
    </w:p>
    <w:p>
      <w:pPr>
        <w:pStyle w:val="Normal"/>
        <w:bidi w:val="0"/>
        <w:spacing w:lineRule="auto" w:line="276" w:beforeAutospacing="0" w:before="0" w:afterAutospacing="0" w:after="0"/>
        <w:ind w:right="0" w:hanging="0"/>
        <w:jc w:val="left"/>
        <w:rPr>
          <w:rFonts w:ascii="Open Sans Light" w:hAnsi="Open Sans Light" w:eastAsia="Open Sans Light" w:cs="Open Sans Light"/>
          <w:sz w:val="22"/>
          <w:szCs w:val="22"/>
          <w:lang w:val="pt-BR"/>
        </w:rPr>
      </w:pPr>
      <w:r>
        <w:rPr>
          <w:rFonts w:eastAsia="Open Sans Light" w:cs="Open Sans Light" w:ascii="Open Sans Light" w:hAnsi="Open Sans Light"/>
          <w:sz w:val="22"/>
          <w:szCs w:val="22"/>
          <w:lang w:val="pt-BR"/>
        </w:rPr>
      </w:r>
    </w:p>
    <w:p>
      <w:pPr>
        <w:pStyle w:val="Ttulo1"/>
        <w:bidi w:val="0"/>
        <w:spacing w:lineRule="auto" w:line="276" w:beforeAutospacing="0" w:before="480" w:afterAutospacing="0" w:after="120"/>
        <w:ind w:left="0" w:right="0" w:hanging="0"/>
        <w:jc w:val="both"/>
        <w:rPr>
          <w:rFonts w:ascii="Open Sans Light" w:hAnsi="Open Sans Light" w:eastAsia="Open Sans Light" w:cs="Open Sans Light"/>
          <w:color w:val="434343"/>
          <w:sz w:val="46"/>
          <w:szCs w:val="46"/>
          <w:lang w:val="pt-BR"/>
        </w:rPr>
      </w:pPr>
      <w:bookmarkStart w:id="24" w:name="__RefHeading___Toc293_1456719181"/>
      <w:bookmarkStart w:id="25" w:name="_Toc2058691455"/>
      <w:bookmarkEnd w:id="24"/>
      <w:r>
        <w:rPr>
          <w:rFonts w:eastAsia="Open Sans Light" w:cs="Open Sans Light" w:ascii="Open Sans Light" w:hAnsi="Open Sans Light"/>
          <w:color w:val="434343"/>
          <w:sz w:val="46"/>
          <w:szCs w:val="46"/>
          <w:lang w:val="pt-BR"/>
        </w:rPr>
        <w:t>8. Considerações Finais</w:t>
      </w:r>
      <w:bookmarkEnd w:id="25"/>
    </w:p>
    <w:p>
      <w:pPr>
        <w:pStyle w:val="Normal"/>
        <w:bidi w:val="0"/>
        <w:spacing w:lineRule="auto" w:line="240" w:beforeAutospacing="0" w:before="0" w:afterAutospacing="0" w:after="0"/>
        <w:ind w:left="0" w:right="0" w:hanging="0"/>
        <w:jc w:val="both"/>
        <w:rPr>
          <w:rFonts w:ascii="Open Sans Light" w:hAnsi="Open Sans Light" w:eastAsia="Open Sans Light" w:cs="Open Sans Light"/>
          <w:color w:val="auto"/>
          <w:sz w:val="22"/>
          <w:szCs w:val="22"/>
          <w:lang w:val="pt-BR" w:eastAsia="pt-BR" w:bidi="ar-SA"/>
        </w:rPr>
      </w:pPr>
      <w:r>
        <w:rPr>
          <w:rFonts w:eastAsia="Open Sans Light" w:cs="Open Sans Light" w:ascii="Open Sans Light" w:hAnsi="Open Sans Light"/>
          <w:color w:val="auto"/>
          <w:sz w:val="22"/>
          <w:szCs w:val="22"/>
          <w:lang w:val="pt-BR" w:eastAsia="pt-BR" w:bidi="ar-SA"/>
        </w:rPr>
        <w:t>Este documento deve ser seguido por todos os usuários e administradores responsáveis pela certificação digital.</w:t>
      </w:r>
    </w:p>
    <w:p>
      <w:pPr>
        <w:pStyle w:val="Normal"/>
        <w:bidi w:val="0"/>
        <w:rPr>
          <w:lang w:val="pt-BR"/>
        </w:rPr>
      </w:pPr>
      <w:r>
        <w:rPr>
          <w:lang w:val="pt-BR"/>
        </w:rPr>
      </w:r>
    </w:p>
    <w:p>
      <w:pPr>
        <w:pStyle w:val="Normal"/>
        <w:rPr>
          <w:rFonts w:ascii="Open Sans Light" w:hAnsi="Open Sans Light" w:eastAsia="Open Sans Light" w:cs="Open Sans Light"/>
          <w:color w:val="434343"/>
          <w:sz w:val="46"/>
          <w:szCs w:val="46"/>
        </w:rPr>
      </w:pPr>
      <w:r>
        <w:rPr/>
      </w:r>
    </w:p>
    <w:sectPr>
      <w:headerReference w:type="default" r:id="rId9"/>
      <w:headerReference w:type="first" r:id="rId10"/>
      <w:footerReference w:type="default" r:id="rId11"/>
      <w:type w:val="nextPage"/>
      <w:pgSz w:w="11906" w:h="16838"/>
      <w:pgMar w:left="1133" w:right="1133" w:gutter="0" w:header="793" w:top="1133" w:footer="566" w:bottom="1133"/>
      <w:pgNumType w:start="0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 Sans Light">
    <w:charset w:val="00"/>
    <w:family w:val="roman"/>
    <w:pitch w:val="variable"/>
  </w:font>
  <w:font w:name="Open Sans">
    <w:charset w:val="00"/>
    <w:family w:val="roman"/>
    <w:pitch w:val="variable"/>
  </w:font>
  <w:font w:name="Aptos">
    <w:charset w:val="01"/>
    <w:family w:val="auto"/>
    <w:pitch w:val="default"/>
  </w:font>
  <w:font w:name="Courier New">
    <w:charset w:val="01"/>
    <w:family w:val="modern"/>
    <w:pitch w:val="fixed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variable"/>
    <w:embedRegular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rPr>
        <w:color w:val="999999"/>
      </w:rPr>
    </w:pPr>
    <w:r>
      <w:rPr>
        <w:color w:val="999999"/>
      </w:rPr>
    </w:r>
  </w:p>
  <w:tbl>
    <w:tblPr>
      <w:tblStyle w:val="a"/>
      <w:tblW w:w="9643" w:type="dxa"/>
      <w:jc w:val="left"/>
      <w:tblInd w:w="0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firstRow="0" w:noVBand="1" w:lastRow="0" w:firstColumn="0" w:lastColumn="0" w:noHBand="1" w:val="0600"/>
    </w:tblPr>
    <w:tblGrid>
      <w:gridCol w:w="4821"/>
      <w:gridCol w:w="4821"/>
    </w:tblGrid>
    <w:tr>
      <w:trPr/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>
          <w:pPr>
            <w:pStyle w:val="Normal"/>
            <w:widowControl w:val="false"/>
            <w:spacing w:lineRule="auto" w:line="240"/>
            <w:rPr>
              <w:color w:val="999999"/>
            </w:rPr>
          </w:pPr>
          <w:r>
            <w:rPr>
              <w:color w:val="999999"/>
            </w:rPr>
            <w:t>serpro.gov.br</w:t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>
          <w:pPr>
            <w:pStyle w:val="Normal"/>
            <w:widowControl w:val="false"/>
            <w:spacing w:lineRule="auto" w:line="240"/>
            <w:jc w:val="right"/>
            <w:rPr>
              <w:color w:val="999999"/>
            </w:rPr>
          </w:pPr>
          <w:r>
            <w:rPr/>
            <w:fldChar w:fldCharType="begin"/>
          </w:r>
          <w:r>
            <w:rPr/>
            <w:instrText xml:space="preserve"> PAGE </w:instrText>
          </w:r>
          <w:r>
            <w:rPr/>
            <w:fldChar w:fldCharType="separate"/>
          </w:r>
          <w:r>
            <w:rPr/>
            <w:t>4</w:t>
          </w:r>
          <w:r>
            <w:rPr/>
            <w:fldChar w:fldCharType="end"/>
          </w:r>
        </w:p>
      </w:tc>
    </w:tr>
  </w:tbl>
  <w:p>
    <w:pPr>
      <w:pStyle w:val="Normal"/>
      <w:spacing w:lineRule="auto" w:line="240"/>
      <w:rPr>
        <w:color w:val="999999"/>
      </w:rPr>
    </w:pPr>
    <w:r>
      <w:rPr>
        <w:color w:val="999999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right"/>
      <w:rPr>
        <w:rFonts w:ascii="Open Sans" w:hAnsi="Open Sans" w:eastAsia="Open Sans" w:cs="Open Sans"/>
        <w:b/>
        <w:color w:val="434343"/>
        <w:sz w:val="18"/>
        <w:szCs w:val="18"/>
      </w:rPr>
    </w:pPr>
    <w: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80645</wp:posOffset>
          </wp:positionH>
          <wp:positionV relativeFrom="paragraph">
            <wp:posOffset>-85725</wp:posOffset>
          </wp:positionV>
          <wp:extent cx="790575" cy="250190"/>
          <wp:effectExtent l="0" t="0" r="0" b="0"/>
          <wp:wrapSquare wrapText="bothSides"/>
          <wp:docPr id="3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0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Open Sans" w:cs="Open Sans" w:ascii="Open Sans" w:hAnsi="Open Sans"/>
        <w:b/>
        <w:color w:val="434343"/>
        <w:sz w:val="18"/>
        <w:szCs w:val="18"/>
      </w:rPr>
      <w:t xml:space="preserve"> </w:t>
    </w:r>
    <w:r>
      <w:rPr>
        <w:rFonts w:eastAsia="Open Sans" w:cs="Open Sans" w:ascii="Open Sans" w:hAnsi="Open Sans"/>
        <w:b/>
        <w:color w:val="434343"/>
        <w:sz w:val="18"/>
        <w:szCs w:val="18"/>
      </w:rPr>
      <w:t>Manual de Procedimentos</w:t>
    </w:r>
    <w:r>
      <w:rPr>
        <w:rFonts w:eastAsia="Open Sans" w:cs="Open Sans" w:ascii="Open Sans" w:hAnsi="Open Sans"/>
        <w:b/>
        <w:color w:val="434343"/>
        <w:sz w:val="18"/>
        <w:szCs w:val="18"/>
      </w:rPr>
      <mc:AlternateContent>
        <mc:Choice Requires="wps">
          <w:drawing>
            <wp:inline distT="0" distB="0" distL="0" distR="0" wp14:anchorId="3C85726D">
              <wp:extent cx="6121400" cy="19050"/>
              <wp:effectExtent l="0" t="0" r="0" b="0"/>
              <wp:docPr id="4" name="Form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144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inline>
          </w:drawing>
        </mc:Choice>
        <mc:Fallback>
          <w:pict>
            <v:rect id="shape_0" ID="Forma1" path="m0,0l-2147483645,0l-2147483645,-2147483646l0,-2147483646xe" fillcolor="#a0a0a0" stroked="f" o:allowincell="f" style="position:absolute;margin-left:0pt;margin-top:-1.55pt;width:481.95pt;height:1.45pt;mso-wrap-style:none;v-text-anchor:middle;mso-position-vertical:top" wp14:anchorId="3C85726D">
              <v:fill o:detectmouseclick="t" type="solid" color2="#5f5f5f"/>
              <v:stroke color="#3465a4" joinstyle="round" endcap="flat"/>
              <w10:wrap type="square"/>
            </v:rect>
          </w:pict>
        </mc:Fallback>
      </mc:AlternateContent>
    </w:r>
  </w:p>
  <w:p>
    <w:pPr>
      <w:pStyle w:val="Normal"/>
      <w:jc w:val="center"/>
      <w:rPr>
        <w:rFonts w:ascii="Open Sans" w:hAnsi="Open Sans" w:eastAsia="Open Sans" w:cs="Open Sans"/>
        <w:b/>
        <w:color w:val="434343"/>
        <w:sz w:val="18"/>
        <w:szCs w:val="18"/>
      </w:rPr>
    </w:pPr>
    <w:r>
      <w:rPr>
        <w:rFonts w:eastAsia="Open Sans" w:cs="Open Sans" w:ascii="Open Sans" w:hAnsi="Open Sans"/>
        <w:b/>
        <w:color w:val="434343"/>
        <w:sz w:val="18"/>
        <w:szCs w:val="18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rFonts w:ascii="Open Sans" w:hAnsi="Open Sans" w:eastAsia="Open Sans" w:cs="Open Sans"/>
        <w:color w:val="999999"/>
        <w:sz w:val="20"/>
        <w:szCs w:val="20"/>
      </w:rPr>
    </w:pPr>
    <w:r>
      <w:rPr>
        <w:rFonts w:eastAsia="Open Sans" w:cs="Open Sans" w:ascii="Open Sans" w:hAnsi="Open Sans"/>
        <w:color w:val="999999"/>
        <w:sz w:val="20"/>
        <w:szCs w:val="20"/>
      </w:rPr>
      <w:t>serpro.gov.br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757ac22d"/>
    <w:pPr>
      <w:keepNext w:val="true"/>
      <w:keepLines/>
      <w:spacing w:before="160" w:after="80"/>
      <w:outlineLvl w:val="2"/>
    </w:pPr>
    <w:rPr>
      <w:rFonts w:eastAsia="Cambria" w:cs="ＭＳ ゴシック" w:cstheme="majorEastAsia" w:eastAsiaTheme="minorAscii"/>
      <w:color w:val="365F91" w:themeColor="accent1" w:themeShade="bf" w:themeTint="ff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c930a0"/>
    <w:rPr/>
  </w:style>
  <w:style w:type="character" w:styleId="RodapChar" w:customStyle="1">
    <w:name w:val="Rodapé Char"/>
    <w:basedOn w:val="DefaultParagraphFont"/>
    <w:uiPriority w:val="99"/>
    <w:qFormat/>
    <w:rsid w:val="00c930a0"/>
    <w:rPr/>
  </w:style>
  <w:style w:type="character" w:styleId="LinkdaInternet">
    <w:name w:val="Hyperlink"/>
    <w:rPr>
      <w:color w:val="000080"/>
      <w:u w:val="single"/>
    </w:rPr>
  </w:style>
  <w:style w:type="character" w:styleId="Vnculodendice">
    <w:name w:val="Vínculo de índice"/>
    <w:qFormat/>
    <w:rPr/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c930a0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Rodap">
    <w:name w:val="Footer"/>
    <w:basedOn w:val="Normal"/>
    <w:link w:val="RodapChar"/>
    <w:uiPriority w:val="99"/>
    <w:unhideWhenUsed/>
    <w:rsid w:val="00c930a0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Sumrio1">
    <w:name w:val="TOC 1"/>
    <w:basedOn w:val="Normal"/>
    <w:next w:val="Normal"/>
    <w:uiPriority w:val="39"/>
    <w:unhideWhenUsed/>
    <w:rsid w:val="757ac22d"/>
    <w:pPr>
      <w:spacing w:before="0" w:after="100"/>
    </w:pPr>
    <w:rPr/>
  </w:style>
  <w:style w:type="paragraph" w:styleId="Sumrio2">
    <w:name w:val="TOC 2"/>
    <w:basedOn w:val="Normal"/>
    <w:next w:val="Normal"/>
    <w:uiPriority w:val="39"/>
    <w:unhideWhenUsed/>
    <w:rsid w:val="757ac22d"/>
    <w:pPr>
      <w:spacing w:before="0" w:after="100"/>
      <w:ind w:left="220" w:hanging="0"/>
    </w:pPr>
    <w:rPr/>
  </w:style>
  <w:style w:type="paragraph" w:styleId="Sumrio3">
    <w:name w:val="TOC 3"/>
    <w:basedOn w:val="Normal"/>
    <w:next w:val="Normal"/>
    <w:uiPriority w:val="39"/>
    <w:unhideWhenUsed/>
    <w:rsid w:val="757ac22d"/>
    <w:pPr>
      <w:spacing w:before="0" w:after="100"/>
      <w:ind w:left="440" w:hanging="0"/>
    </w:pPr>
    <w:rPr/>
  </w:style>
  <w:style w:type="paragraph" w:styleId="ListParagraph">
    <w:name w:val="List Paragraph"/>
    <w:basedOn w:val="Normal"/>
    <w:uiPriority w:val="34"/>
    <w:qFormat/>
    <w:rsid w:val="757ac22d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serpro.gov.br/links-fixos-superiores/pss-serpro/acfecomercio" TargetMode="External"/><Relationship Id="rId5" Type="http://schemas.openxmlformats.org/officeDocument/2006/relationships/hyperlink" Target="https://certificados.serpro.gov.br/instalador/" TargetMode="External"/><Relationship Id="rId6" Type="http://schemas.openxmlformats.org/officeDocument/2006/relationships/hyperlink" Target="https://certificados.serpro.gov.br/instalador/ajuda/html/index.html" TargetMode="External"/><Relationship Id="rId7" Type="http://schemas.openxmlformats.org/officeDocument/2006/relationships/hyperlink" Target="https://certificados.serpro.gov.br/instalador/ajuda/html/index.html" TargetMode="External"/><Relationship Id="rId8" Type="http://schemas.openxmlformats.org/officeDocument/2006/relationships/hyperlink" Target="https://repositorio.serpro.gov.br/ajuda/usuarios/html/demo_13.html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3A1C1-DF03-47F7-A117-265B167E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LibreOffice/7.5.2.2$Windows_X86_64 LibreOffice_project/53bb9681a964705cf672590721dbc85eb4d0c3a2</Application>
  <AppVersion>15.0000</AppVersion>
  <Pages>5</Pages>
  <Words>677</Words>
  <Characters>3887</Characters>
  <CharactersWithSpaces>4492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2025-02-03T17:09:00Z</dcterms:created>
  <dc:creator/>
  <dc:description/>
  <dc:language>pt-BR</dc:language>
  <cp:lastModifiedBy/>
  <dcterms:modified xsi:type="dcterms:W3CDTF">2025-02-05T16:09:32Z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